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I.</w:t>
      </w:r>
    </w:p>
    <w:p w:rsidR="00A77B3E">
      <w:pPr>
        <w:pStyle w:val="1"/>
      </w:pPr>
    </w:p>
    <w:p w:rsidR="00A77B3E">
      <w:pPr>
        <w:pStyle w:val="3"/>
      </w:pPr>
      <w:r>
        <w:t>Stručný popis obsahu návrhu právního předpisu</w:t>
      </w:r>
    </w:p>
    <w:p w:rsidR="00A77B3E">
      <w:pPr>
        <w:pStyle w:val="1"/>
      </w:pPr>
    </w:p>
    <w:p w:rsidR="00A77B3E">
      <w:pPr>
        <w:pStyle w:val="4"/>
      </w:pPr>
      <w:r>
        <w:t>Vyhláška, kterou se mění vyhláška č. 474/2002 Sb., kterou se provádí zákon č. 281/2002 Sb., o některých opatřeních souvisejících se zákazem bakteriologických (biologických) a toxinových zbraní a o změně živnostenského zákona, ve znění pozdějších předpisů</w:t>
      </w:r>
    </w:p>
    <w:p w:rsidR="00A77B3E">
      <w:pPr>
        <w:pStyle w:val="1"/>
      </w:pPr>
    </w:p>
    <w:p w:rsidR="00A77B3E">
      <w:pPr>
        <w:pStyle w:val="5"/>
      </w:pPr>
      <w:r>
        <w:t>Státní úřad pro jadernou bezpečnost (SÚJB) předkládá návrh vyhlášky, kterou se mění vyhláška č. 474/2002 Sb., kterou se provádí zákon č. 281/2002 Sb., o některých opatřeních souvisejících se zákazem bakteriologických (biologických) a toxinových zbraní a o změně živnostenského zákona. K vydání vyhlášky je SÚJB zmocněn ustanovením § 22 odst. 1 zákona č. 281/2002 Sb., o některých opatřeních souvisejících se zákazem bakteriologických (biologických) a toxinových zbraní a o změně živnostenského zákona (dále jen „zákon č. 281/2002 Sb.“). Hlavním cílem navrhované regulace je úprava přílohy č. 1 a č. 2 k vyhlášce v souvislosti se změnami přílohy I k Nařízení Evropského parlamentu a Rady (EU) 2021/821, kterým se zavádí režim Unie pro kontrolu vývozu, zprostředkování, technické pomoci, tranzitu a přepravy zboží dvojího užití.</w:t>
      </w:r>
      <w:r>
        <w:br/>
      </w:r>
      <w:r>
        <w:t>Ač tato evropská právní úprava sleduje jiný účel, důvodem, proč jsou využívány aktualizované seznamy Nařízení Evropského parlamentu a Rady (EU) 2021/821, je skutečnost, že součástí Úmluvy o zákazu biologických zbraní není žádný seznam biologických agens a toxinů, které by mohly být zneužity k výrobě biologických zbraní. Obdobný seznam není ani součástí jiné evropské či vnitrostátní legislativy, a proto vyhláška využívá seznamy zboží dvojího užití, tedy zboží, jehož vývoz se kontroluje vzhledem k možnosti jeho zneužití k výrobě zbraní hromadného ničení.</w:t>
      </w:r>
    </w:p>
    <w:sectPr>
      <w:headerReference w:type="even" r:id="rId4"/>
      <w:headerReference w:type="default" r:id="rId5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lef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center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lef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0"/>
      <w:ind w:right="227"/>
      <w:jc w:val="right"/>
    </w:pPr>
    <w:rPr>
      <w:rFonts w:ascii="Times New Roman" w:eastAsia="Times New Roman" w:hAnsi="Times New Roman" w:cs="Times New Roman"/>
      <w:b/>
      <w:sz w:val="40"/>
    </w:rPr>
  </w:style>
  <w:style w:type="paragraph" w:customStyle="1" w:styleId="3">
    <w:name w:val="3"/>
    <w:pPr>
      <w:spacing w:before="0" w:after="340"/>
      <w:ind w:left="680" w:right="680"/>
      <w:jc w:val="center"/>
    </w:pPr>
    <w:rPr>
      <w:rFonts w:ascii="Times New Roman" w:eastAsia="Times New Roman" w:hAnsi="Times New Roman" w:cs="Times New Roman"/>
      <w:b/>
      <w:sz w:val="44"/>
    </w:rPr>
  </w:style>
  <w:style w:type="paragraph" w:customStyle="1" w:styleId="4">
    <w:name w:val="4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5">
    <w:name w:val="5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